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05DE6" w:rsidRDefault="003B3994" w:rsidP="00B05DE6">
      <w:pPr>
        <w:spacing w:line="560" w:lineRule="exact"/>
        <w:jc w:val="center"/>
        <w:rPr>
          <w:rFonts w:ascii="仿宋" w:eastAsia="仿宋" w:hAnsi="仿宋" w:hint="eastAsia"/>
          <w:sz w:val="28"/>
          <w:szCs w:val="28"/>
        </w:rPr>
      </w:pPr>
      <w:r w:rsidRPr="00B05DE6">
        <w:rPr>
          <w:rFonts w:ascii="仿宋" w:eastAsia="仿宋" w:hAnsi="仿宋" w:hint="eastAsia"/>
          <w:sz w:val="28"/>
          <w:szCs w:val="28"/>
        </w:rPr>
        <w:t>正确认识期权交易风险</w:t>
      </w:r>
    </w:p>
    <w:p w:rsidR="003B3994" w:rsidRPr="00B05DE6" w:rsidRDefault="003B3994" w:rsidP="00B05DE6">
      <w:pPr>
        <w:spacing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B05DE6">
        <w:rPr>
          <w:rFonts w:ascii="仿宋" w:eastAsia="仿宋" w:hAnsi="仿宋" w:hint="eastAsia"/>
          <w:sz w:val="28"/>
          <w:szCs w:val="28"/>
        </w:rPr>
        <w:t>与期货交易相比，期权所涉及的风险更为复杂。期货交易中涉及两类风险：一是期货投机涉及价格风险，二是套利交易</w:t>
      </w:r>
      <w:proofErr w:type="gramStart"/>
      <w:r w:rsidRPr="00B05DE6">
        <w:rPr>
          <w:rFonts w:ascii="仿宋" w:eastAsia="仿宋" w:hAnsi="仿宋" w:hint="eastAsia"/>
          <w:sz w:val="28"/>
          <w:szCs w:val="28"/>
        </w:rPr>
        <w:t>涉及基差风险</w:t>
      </w:r>
      <w:proofErr w:type="gramEnd"/>
      <w:r w:rsidRPr="00B05DE6">
        <w:rPr>
          <w:rFonts w:ascii="仿宋" w:eastAsia="仿宋" w:hAnsi="仿宋" w:hint="eastAsia"/>
          <w:sz w:val="28"/>
          <w:szCs w:val="28"/>
        </w:rPr>
        <w:t>。与期货交易相比，作为非线性衍生产品，期权交易中所涉及的风险更为复杂，通常包括价格风险、时间风险、对冲不匹配风险和波动率风险。</w:t>
      </w:r>
    </w:p>
    <w:p w:rsidR="003B3994" w:rsidRPr="00B05DE6" w:rsidRDefault="003B3994" w:rsidP="00B05DE6">
      <w:pPr>
        <w:spacing w:line="560" w:lineRule="exact"/>
        <w:ind w:firstLineChars="200" w:firstLine="562"/>
        <w:rPr>
          <w:rFonts w:ascii="仿宋" w:eastAsia="仿宋" w:hAnsi="仿宋" w:hint="eastAsia"/>
          <w:sz w:val="28"/>
          <w:szCs w:val="28"/>
        </w:rPr>
      </w:pPr>
      <w:r w:rsidRPr="00B05DE6">
        <w:rPr>
          <w:rFonts w:ascii="仿宋" w:eastAsia="仿宋" w:hAnsi="仿宋" w:hint="eastAsia"/>
          <w:b/>
          <w:sz w:val="28"/>
          <w:szCs w:val="28"/>
        </w:rPr>
        <w:t>风险识别</w:t>
      </w:r>
      <w:r w:rsidRPr="00B05DE6">
        <w:rPr>
          <w:rFonts w:ascii="仿宋" w:eastAsia="仿宋" w:hAnsi="仿宋" w:hint="eastAsia"/>
          <w:b/>
          <w:sz w:val="28"/>
          <w:szCs w:val="28"/>
        </w:rPr>
        <w:br/>
      </w:r>
      <w:r w:rsidRPr="00B05DE6">
        <w:rPr>
          <w:rFonts w:ascii="仿宋" w:eastAsia="仿宋" w:hAnsi="仿宋" w:hint="eastAsia"/>
          <w:sz w:val="28"/>
          <w:szCs w:val="28"/>
        </w:rPr>
        <w:t xml:space="preserve">　　一是价格风险。所谓价格风险，是指由于标的资产价格变动导致期权组合价值变动而引起的风险。这是投资者最熟知的一类风险，具有这类风险的最典型策略便是买入（卖出）期权，标的价格涨跌会对期权价格产生直接影响。二是时间风险。时间风险，是指时间的变化导致期权组合价值变动引起的风险，这是期权所特有的一类风险。而依据期权头寸组合方式，时间风险又分为两类：一是时间衰减风险。时间是影响期权价格的关键因素，在其他因素不变的情况下，随着时间的流逝，期权价格不断降低，这便是时间衰减风险，最典型的策略为买入期权。</w:t>
      </w:r>
    </w:p>
    <w:p w:rsidR="003B3994" w:rsidRPr="00B05DE6" w:rsidRDefault="003B3994" w:rsidP="00B05DE6">
      <w:pPr>
        <w:spacing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B05DE6">
        <w:rPr>
          <w:rFonts w:ascii="仿宋" w:eastAsia="仿宋" w:hAnsi="仿宋" w:hint="eastAsia"/>
          <w:sz w:val="28"/>
          <w:szCs w:val="28"/>
        </w:rPr>
        <w:t>二是时间不匹配风险。若交易组合中包括不同到期日的期权头寸，则该交易组合面临时间不匹配风险，其危害在于短期期权到期后，组合风险损益结构会发生较大变化。以日历期权为例，投资者买入1手2个月期平值看涨期权，同时卖出1手1个月期平值看涨期权，一个月后，短期期权到期，只剩下长期期权，损益结构发生变化，这即是时间不匹配风险。除此之外，剩余的2个月期期权还承担时间衰减风险。</w:t>
      </w:r>
      <w:r w:rsidRPr="00B05DE6">
        <w:rPr>
          <w:rFonts w:ascii="仿宋" w:eastAsia="仿宋" w:hAnsi="仿宋" w:hint="eastAsia"/>
          <w:sz w:val="28"/>
          <w:szCs w:val="28"/>
        </w:rPr>
        <w:br/>
        <w:t xml:space="preserve">　　三是对冲不匹配风险。若组合中买卖期权数量或方向不一致，随</w:t>
      </w:r>
      <w:r w:rsidRPr="00B05DE6">
        <w:rPr>
          <w:rFonts w:ascii="仿宋" w:eastAsia="仿宋" w:hAnsi="仿宋" w:hint="eastAsia"/>
          <w:sz w:val="28"/>
          <w:szCs w:val="28"/>
        </w:rPr>
        <w:lastRenderedPageBreak/>
        <w:t>着时间、标的物价格的变动，期权一方的盈利无法弥补另一方的亏损而引起的风险，称之为对冲不匹配风险。典型策略如比率期权组合。</w:t>
      </w:r>
      <w:r w:rsidRPr="00B05DE6">
        <w:rPr>
          <w:rFonts w:ascii="仿宋" w:eastAsia="仿宋" w:hAnsi="仿宋" w:hint="eastAsia"/>
          <w:sz w:val="28"/>
          <w:szCs w:val="28"/>
        </w:rPr>
        <w:br/>
        <w:t xml:space="preserve">　　四是波动率风险。波动率是影响期权价格的关键因素，在其他因素不变的情况下，波动率的变化导致期权组合价值变动的风险。典型策略如买入（卖出）跨式期权组合。</w:t>
      </w:r>
      <w:r w:rsidRPr="00B05DE6">
        <w:rPr>
          <w:rFonts w:ascii="仿宋" w:eastAsia="仿宋" w:hAnsi="仿宋" w:hint="eastAsia"/>
          <w:sz w:val="28"/>
          <w:szCs w:val="28"/>
        </w:rPr>
        <w:br/>
        <w:t xml:space="preserve">　　严格来讲，任何期权组合都同时面临以上几种风险，但对于固定组合，风险也有主次之分，下表总结了每大类策略面临的主要风险识别。</w:t>
      </w:r>
    </w:p>
    <w:tbl>
      <w:tblPr>
        <w:tblStyle w:val="a3"/>
        <w:tblW w:w="0" w:type="auto"/>
        <w:tblInd w:w="392" w:type="dxa"/>
        <w:tblLook w:val="04A0"/>
      </w:tblPr>
      <w:tblGrid>
        <w:gridCol w:w="1984"/>
        <w:gridCol w:w="6146"/>
      </w:tblGrid>
      <w:tr w:rsidR="003B3994" w:rsidRPr="00B05DE6" w:rsidTr="00964080">
        <w:tc>
          <w:tcPr>
            <w:tcW w:w="1984" w:type="dxa"/>
          </w:tcPr>
          <w:p w:rsidR="003B3994" w:rsidRPr="00B05DE6" w:rsidRDefault="003B3994" w:rsidP="00B05DE6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B05DE6">
              <w:rPr>
                <w:rFonts w:ascii="仿宋" w:eastAsia="仿宋" w:hAnsi="仿宋" w:hint="eastAsia"/>
                <w:sz w:val="28"/>
                <w:szCs w:val="28"/>
              </w:rPr>
              <w:t>策略</w:t>
            </w:r>
          </w:p>
        </w:tc>
        <w:tc>
          <w:tcPr>
            <w:tcW w:w="6146" w:type="dxa"/>
          </w:tcPr>
          <w:p w:rsidR="003B3994" w:rsidRPr="00B05DE6" w:rsidRDefault="003B3994" w:rsidP="00B05DE6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B05DE6">
              <w:rPr>
                <w:rFonts w:ascii="仿宋" w:eastAsia="仿宋" w:hAnsi="仿宋" w:hint="eastAsia"/>
                <w:sz w:val="28"/>
                <w:szCs w:val="28"/>
              </w:rPr>
              <w:t>主要风险类别</w:t>
            </w:r>
          </w:p>
        </w:tc>
      </w:tr>
      <w:tr w:rsidR="003B3994" w:rsidRPr="00B05DE6" w:rsidTr="00964080">
        <w:tc>
          <w:tcPr>
            <w:tcW w:w="1984" w:type="dxa"/>
          </w:tcPr>
          <w:p w:rsidR="003B3994" w:rsidRPr="00B05DE6" w:rsidRDefault="003B3994" w:rsidP="00B05DE6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B05DE6">
              <w:rPr>
                <w:rFonts w:ascii="仿宋" w:eastAsia="仿宋" w:hAnsi="仿宋" w:hint="eastAsia"/>
                <w:sz w:val="28"/>
                <w:szCs w:val="28"/>
              </w:rPr>
              <w:t>买入期权</w:t>
            </w:r>
          </w:p>
        </w:tc>
        <w:tc>
          <w:tcPr>
            <w:tcW w:w="6146" w:type="dxa"/>
          </w:tcPr>
          <w:p w:rsidR="003B3994" w:rsidRPr="00B05DE6" w:rsidRDefault="003B3994" w:rsidP="00B05DE6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B05DE6">
              <w:rPr>
                <w:rFonts w:ascii="仿宋" w:eastAsia="仿宋" w:hAnsi="仿宋" w:hint="eastAsia"/>
                <w:sz w:val="28"/>
                <w:szCs w:val="28"/>
              </w:rPr>
              <w:t>时间衰减风险、价格风险、波动率风险</w:t>
            </w:r>
          </w:p>
        </w:tc>
      </w:tr>
      <w:tr w:rsidR="003B3994" w:rsidRPr="00B05DE6" w:rsidTr="00964080">
        <w:tc>
          <w:tcPr>
            <w:tcW w:w="1984" w:type="dxa"/>
          </w:tcPr>
          <w:p w:rsidR="003B3994" w:rsidRPr="00B05DE6" w:rsidRDefault="003B3994" w:rsidP="00B05DE6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B05DE6">
              <w:rPr>
                <w:rFonts w:ascii="仿宋" w:eastAsia="仿宋" w:hAnsi="仿宋" w:hint="eastAsia"/>
                <w:sz w:val="28"/>
                <w:szCs w:val="28"/>
              </w:rPr>
              <w:t>卖出期权</w:t>
            </w:r>
          </w:p>
        </w:tc>
        <w:tc>
          <w:tcPr>
            <w:tcW w:w="6146" w:type="dxa"/>
          </w:tcPr>
          <w:p w:rsidR="003B3994" w:rsidRPr="00B05DE6" w:rsidRDefault="003B3994" w:rsidP="00B05DE6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B05DE6">
              <w:rPr>
                <w:rFonts w:ascii="仿宋" w:eastAsia="仿宋" w:hAnsi="仿宋" w:hint="eastAsia"/>
                <w:sz w:val="28"/>
                <w:szCs w:val="28"/>
              </w:rPr>
              <w:t>价格风险、波动率风险</w:t>
            </w:r>
          </w:p>
        </w:tc>
      </w:tr>
      <w:tr w:rsidR="003B3994" w:rsidRPr="00B05DE6" w:rsidTr="00964080">
        <w:tc>
          <w:tcPr>
            <w:tcW w:w="1984" w:type="dxa"/>
          </w:tcPr>
          <w:p w:rsidR="003B3994" w:rsidRPr="00B05DE6" w:rsidRDefault="00B05DE6" w:rsidP="00B05DE6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B05DE6">
              <w:rPr>
                <w:rFonts w:ascii="仿宋" w:eastAsia="仿宋" w:hAnsi="仿宋" w:hint="eastAsia"/>
                <w:sz w:val="28"/>
                <w:szCs w:val="28"/>
              </w:rPr>
              <w:t>垂直价差组合</w:t>
            </w:r>
          </w:p>
        </w:tc>
        <w:tc>
          <w:tcPr>
            <w:tcW w:w="6146" w:type="dxa"/>
          </w:tcPr>
          <w:p w:rsidR="003B3994" w:rsidRPr="00B05DE6" w:rsidRDefault="00B05DE6" w:rsidP="00B05DE6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B05DE6">
              <w:rPr>
                <w:rFonts w:ascii="仿宋" w:eastAsia="仿宋" w:hAnsi="仿宋" w:hint="eastAsia"/>
                <w:sz w:val="28"/>
                <w:szCs w:val="28"/>
              </w:rPr>
              <w:t>价格风险</w:t>
            </w:r>
          </w:p>
        </w:tc>
      </w:tr>
      <w:tr w:rsidR="003B3994" w:rsidRPr="00B05DE6" w:rsidTr="00964080">
        <w:tc>
          <w:tcPr>
            <w:tcW w:w="1984" w:type="dxa"/>
          </w:tcPr>
          <w:p w:rsidR="003B3994" w:rsidRPr="00B05DE6" w:rsidRDefault="00B05DE6" w:rsidP="00B05DE6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B05DE6">
              <w:rPr>
                <w:rFonts w:ascii="仿宋" w:eastAsia="仿宋" w:hAnsi="仿宋" w:hint="eastAsia"/>
                <w:sz w:val="28"/>
                <w:szCs w:val="28"/>
              </w:rPr>
              <w:t>比率期权组合</w:t>
            </w:r>
          </w:p>
        </w:tc>
        <w:tc>
          <w:tcPr>
            <w:tcW w:w="6146" w:type="dxa"/>
          </w:tcPr>
          <w:p w:rsidR="003B3994" w:rsidRPr="00B05DE6" w:rsidRDefault="00B05DE6" w:rsidP="00B05DE6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B05DE6">
              <w:rPr>
                <w:rFonts w:ascii="仿宋" w:eastAsia="仿宋" w:hAnsi="仿宋" w:hint="eastAsia"/>
                <w:sz w:val="28"/>
                <w:szCs w:val="28"/>
              </w:rPr>
              <w:t>对冲不对称风险</w:t>
            </w:r>
          </w:p>
        </w:tc>
      </w:tr>
      <w:tr w:rsidR="003B3994" w:rsidRPr="00B05DE6" w:rsidTr="00964080">
        <w:tc>
          <w:tcPr>
            <w:tcW w:w="1984" w:type="dxa"/>
          </w:tcPr>
          <w:p w:rsidR="003B3994" w:rsidRPr="00B05DE6" w:rsidRDefault="00B05DE6" w:rsidP="00B05DE6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B05DE6">
              <w:rPr>
                <w:rFonts w:ascii="仿宋" w:eastAsia="仿宋" w:hAnsi="仿宋" w:hint="eastAsia"/>
                <w:sz w:val="28"/>
                <w:szCs w:val="28"/>
              </w:rPr>
              <w:t>日历策略</w:t>
            </w:r>
          </w:p>
        </w:tc>
        <w:tc>
          <w:tcPr>
            <w:tcW w:w="6146" w:type="dxa"/>
          </w:tcPr>
          <w:p w:rsidR="003B3994" w:rsidRPr="00B05DE6" w:rsidRDefault="00B05DE6" w:rsidP="00B05DE6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B05DE6">
              <w:rPr>
                <w:rFonts w:ascii="仿宋" w:eastAsia="仿宋" w:hAnsi="仿宋" w:hint="eastAsia"/>
                <w:sz w:val="28"/>
                <w:szCs w:val="28"/>
              </w:rPr>
              <w:t>时间不匹配风险</w:t>
            </w:r>
          </w:p>
        </w:tc>
      </w:tr>
      <w:tr w:rsidR="003B3994" w:rsidRPr="00B05DE6" w:rsidTr="00964080">
        <w:tc>
          <w:tcPr>
            <w:tcW w:w="1984" w:type="dxa"/>
          </w:tcPr>
          <w:p w:rsidR="003B3994" w:rsidRPr="00B05DE6" w:rsidRDefault="00B05DE6" w:rsidP="00B05DE6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B05DE6">
              <w:rPr>
                <w:rFonts w:ascii="仿宋" w:eastAsia="仿宋" w:hAnsi="仿宋" w:hint="eastAsia"/>
                <w:sz w:val="28"/>
                <w:szCs w:val="28"/>
              </w:rPr>
              <w:t>跨式策略</w:t>
            </w:r>
          </w:p>
        </w:tc>
        <w:tc>
          <w:tcPr>
            <w:tcW w:w="6146" w:type="dxa"/>
          </w:tcPr>
          <w:p w:rsidR="003B3994" w:rsidRPr="00B05DE6" w:rsidRDefault="00B05DE6" w:rsidP="00B05DE6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B05DE6">
              <w:rPr>
                <w:rFonts w:ascii="仿宋" w:eastAsia="仿宋" w:hAnsi="仿宋" w:hint="eastAsia"/>
                <w:sz w:val="28"/>
                <w:szCs w:val="28"/>
              </w:rPr>
              <w:t>价格风险、波动率风险</w:t>
            </w:r>
          </w:p>
        </w:tc>
      </w:tr>
      <w:tr w:rsidR="003B3994" w:rsidRPr="00B05DE6" w:rsidTr="00964080">
        <w:tc>
          <w:tcPr>
            <w:tcW w:w="1984" w:type="dxa"/>
          </w:tcPr>
          <w:p w:rsidR="003B3994" w:rsidRPr="00B05DE6" w:rsidRDefault="00B05DE6" w:rsidP="00B05DE6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B05DE6">
              <w:rPr>
                <w:rFonts w:ascii="仿宋" w:eastAsia="仿宋" w:hAnsi="仿宋" w:hint="eastAsia"/>
                <w:sz w:val="28"/>
                <w:szCs w:val="28"/>
              </w:rPr>
              <w:t>蝶式组合</w:t>
            </w:r>
          </w:p>
        </w:tc>
        <w:tc>
          <w:tcPr>
            <w:tcW w:w="6146" w:type="dxa"/>
          </w:tcPr>
          <w:p w:rsidR="003B3994" w:rsidRPr="00B05DE6" w:rsidRDefault="00B05DE6" w:rsidP="00B05DE6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B05DE6">
              <w:rPr>
                <w:rFonts w:ascii="仿宋" w:eastAsia="仿宋" w:hAnsi="仿宋" w:hint="eastAsia"/>
                <w:sz w:val="28"/>
                <w:szCs w:val="28"/>
              </w:rPr>
              <w:t>价格风险</w:t>
            </w:r>
          </w:p>
        </w:tc>
      </w:tr>
    </w:tbl>
    <w:p w:rsidR="003B3994" w:rsidRPr="00B05DE6" w:rsidRDefault="00B05DE6" w:rsidP="00964080">
      <w:pPr>
        <w:spacing w:line="560" w:lineRule="exact"/>
        <w:ind w:firstLineChars="200" w:firstLine="562"/>
        <w:rPr>
          <w:rFonts w:ascii="仿宋" w:eastAsia="仿宋" w:hAnsi="仿宋" w:hint="eastAsia"/>
          <w:sz w:val="28"/>
          <w:szCs w:val="28"/>
        </w:rPr>
      </w:pPr>
      <w:r w:rsidRPr="00964080">
        <w:rPr>
          <w:rFonts w:ascii="仿宋" w:eastAsia="仿宋" w:hAnsi="仿宋" w:hint="eastAsia"/>
          <w:b/>
          <w:sz w:val="28"/>
          <w:szCs w:val="28"/>
        </w:rPr>
        <w:t>加深理解</w:t>
      </w:r>
      <w:r w:rsidRPr="00964080">
        <w:rPr>
          <w:rFonts w:ascii="仿宋" w:eastAsia="仿宋" w:hAnsi="仿宋" w:hint="eastAsia"/>
          <w:sz w:val="28"/>
          <w:szCs w:val="28"/>
        </w:rPr>
        <w:br/>
      </w:r>
      <w:r w:rsidRPr="00B05DE6">
        <w:rPr>
          <w:rFonts w:ascii="仿宋" w:eastAsia="仿宋" w:hAnsi="仿宋" w:hint="eastAsia"/>
          <w:sz w:val="28"/>
          <w:szCs w:val="28"/>
        </w:rPr>
        <w:t xml:space="preserve">　　期权交易面临如此多风险，导致期权交易并不如表面上看的那么简单，只有对期权风险有足够的认识，才能为长期稳定盈利打下基础。</w:t>
      </w:r>
      <w:r w:rsidRPr="00B05DE6">
        <w:rPr>
          <w:rFonts w:ascii="仿宋" w:eastAsia="仿宋" w:hAnsi="仿宋" w:hint="eastAsia"/>
          <w:sz w:val="28"/>
          <w:szCs w:val="28"/>
        </w:rPr>
        <w:br/>
        <w:t xml:space="preserve">　　一是对冲不匹配风险本质上属于价格风险。以比率看涨期权组合为例，投资者买入1手平值看涨期权，同时卖出</w:t>
      </w:r>
      <w:proofErr w:type="gramStart"/>
      <w:r w:rsidRPr="00B05DE6">
        <w:rPr>
          <w:rFonts w:ascii="仿宋" w:eastAsia="仿宋" w:hAnsi="仿宋" w:hint="eastAsia"/>
          <w:sz w:val="28"/>
          <w:szCs w:val="28"/>
        </w:rPr>
        <w:t>2手虚值看涨</w:t>
      </w:r>
      <w:proofErr w:type="gramEnd"/>
      <w:r w:rsidRPr="00B05DE6">
        <w:rPr>
          <w:rFonts w:ascii="仿宋" w:eastAsia="仿宋" w:hAnsi="仿宋" w:hint="eastAsia"/>
          <w:sz w:val="28"/>
          <w:szCs w:val="28"/>
        </w:rPr>
        <w:t>期权，其策略</w:t>
      </w:r>
      <w:proofErr w:type="gramStart"/>
      <w:r w:rsidRPr="00B05DE6">
        <w:rPr>
          <w:rFonts w:ascii="仿宋" w:eastAsia="仿宋" w:hAnsi="仿宋" w:hint="eastAsia"/>
          <w:sz w:val="28"/>
          <w:szCs w:val="28"/>
        </w:rPr>
        <w:t>损益图</w:t>
      </w:r>
      <w:proofErr w:type="gramEnd"/>
      <w:r w:rsidRPr="00B05DE6">
        <w:rPr>
          <w:rFonts w:ascii="仿宋" w:eastAsia="仿宋" w:hAnsi="仿宋" w:hint="eastAsia"/>
          <w:sz w:val="28"/>
          <w:szCs w:val="28"/>
        </w:rPr>
        <w:t>如下图所示：</w:t>
      </w:r>
    </w:p>
    <w:p w:rsidR="00B05DE6" w:rsidRPr="00B05DE6" w:rsidRDefault="00B05DE6" w:rsidP="00964080">
      <w:pPr>
        <w:rPr>
          <w:rFonts w:ascii="仿宋" w:eastAsia="仿宋" w:hAnsi="仿宋" w:hint="eastAsia"/>
          <w:sz w:val="28"/>
          <w:szCs w:val="28"/>
        </w:rPr>
      </w:pPr>
    </w:p>
    <w:p w:rsidR="00964080" w:rsidRDefault="00964080" w:rsidP="00964080">
      <w:pPr>
        <w:jc w:val="center"/>
        <w:rPr>
          <w:rFonts w:ascii="仿宋" w:eastAsia="仿宋" w:hAnsi="仿宋" w:hint="eastAsia"/>
          <w:sz w:val="28"/>
          <w:szCs w:val="28"/>
        </w:rPr>
      </w:pPr>
      <w:r w:rsidRPr="00B05DE6">
        <w:rPr>
          <w:rFonts w:ascii="仿宋" w:eastAsia="仿宋" w:hAnsi="仿宋"/>
          <w:sz w:val="28"/>
          <w:szCs w:val="28"/>
        </w:rPr>
        <w:lastRenderedPageBreak/>
        <w:drawing>
          <wp:inline distT="0" distB="0" distL="0" distR="0">
            <wp:extent cx="3673503" cy="1987826"/>
            <wp:effectExtent l="19050" t="0" r="3147" b="0"/>
            <wp:docPr id="2" name="图片 1" descr="C:\Users\adi\AppData\Roaming\Tencent\Users\815491681\QQ\WinTemp\RichOle\B$}}7@J7WNF@P7O`NLEE6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i\AppData\Roaming\Tencent\Users\815491681\QQ\WinTemp\RichOle\B$}}7@J7WNF@P7O`NLEE696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8513" cy="1990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DE6" w:rsidRPr="00B05DE6" w:rsidRDefault="00B05DE6" w:rsidP="00964080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05DE6">
        <w:rPr>
          <w:rFonts w:ascii="仿宋" w:eastAsia="仿宋" w:hAnsi="仿宋" w:hint="eastAsia"/>
          <w:sz w:val="28"/>
          <w:szCs w:val="28"/>
        </w:rPr>
        <w:t>由上图可知，随着价格的上涨，组合价值不断减少，随之产生亏损。该组合包括买入期权，也包括卖空期权，时间和波动率风险均形成对冲效应，因此该组合主要风险为价格风险，只不过其价格风险主要是由头寸数量不对等产生的，可以认为对冲不匹配风险本质上属于价格风险。</w:t>
      </w:r>
      <w:r w:rsidRPr="00B05DE6">
        <w:rPr>
          <w:rFonts w:ascii="仿宋" w:eastAsia="仿宋" w:hAnsi="仿宋" w:hint="eastAsia"/>
          <w:sz w:val="28"/>
          <w:szCs w:val="28"/>
        </w:rPr>
        <w:br/>
        <w:t xml:space="preserve">　　二是以动态视角观察风险。期权风险绝不是一成不变的，以时间风险为例，对于同一组合，随着标的物价格的波动，时间在某一价格区域有利于价值增值，但在其他价格区域则不利于价值增值。例如，投资者买入1手平值看涨期权，同时卖出</w:t>
      </w:r>
      <w:proofErr w:type="gramStart"/>
      <w:r w:rsidRPr="00B05DE6">
        <w:rPr>
          <w:rFonts w:ascii="仿宋" w:eastAsia="仿宋" w:hAnsi="仿宋" w:hint="eastAsia"/>
          <w:sz w:val="28"/>
          <w:szCs w:val="28"/>
        </w:rPr>
        <w:t>1手虚值看涨</w:t>
      </w:r>
      <w:proofErr w:type="gramEnd"/>
      <w:r w:rsidRPr="00B05DE6">
        <w:rPr>
          <w:rFonts w:ascii="仿宋" w:eastAsia="仿宋" w:hAnsi="仿宋" w:hint="eastAsia"/>
          <w:sz w:val="28"/>
          <w:szCs w:val="28"/>
        </w:rPr>
        <w:t>期权，从而构成垂直价差组合，当标的资产</w:t>
      </w:r>
      <w:proofErr w:type="gramStart"/>
      <w:r w:rsidRPr="00B05DE6">
        <w:rPr>
          <w:rFonts w:ascii="仿宋" w:eastAsia="仿宋" w:hAnsi="仿宋" w:hint="eastAsia"/>
          <w:sz w:val="28"/>
          <w:szCs w:val="28"/>
        </w:rPr>
        <w:t>位于低执行</w:t>
      </w:r>
      <w:proofErr w:type="gramEnd"/>
      <w:r w:rsidRPr="00B05DE6">
        <w:rPr>
          <w:rFonts w:ascii="仿宋" w:eastAsia="仿宋" w:hAnsi="仿宋" w:hint="eastAsia"/>
          <w:sz w:val="28"/>
          <w:szCs w:val="28"/>
        </w:rPr>
        <w:t>价格以下时，组合价值受到时间价值衰减影响，而位于</w:t>
      </w:r>
      <w:proofErr w:type="gramStart"/>
      <w:r w:rsidRPr="00B05DE6">
        <w:rPr>
          <w:rFonts w:ascii="仿宋" w:eastAsia="仿宋" w:hAnsi="仿宋" w:hint="eastAsia"/>
          <w:sz w:val="28"/>
          <w:szCs w:val="28"/>
        </w:rPr>
        <w:t>高执行</w:t>
      </w:r>
      <w:proofErr w:type="gramEnd"/>
      <w:r w:rsidRPr="00B05DE6">
        <w:rPr>
          <w:rFonts w:ascii="仿宋" w:eastAsia="仿宋" w:hAnsi="仿宋" w:hint="eastAsia"/>
          <w:sz w:val="28"/>
          <w:szCs w:val="28"/>
        </w:rPr>
        <w:t>价格以上时，期权衰减则有利于组合增值，因此对于期权组合，要以动态视角观察风险。（资料来源：期权北京）</w:t>
      </w:r>
    </w:p>
    <w:p w:rsidR="00B05DE6" w:rsidRPr="00B05DE6" w:rsidRDefault="00B05DE6" w:rsidP="00B05DE6">
      <w:pPr>
        <w:spacing w:line="560" w:lineRule="exact"/>
        <w:rPr>
          <w:rFonts w:ascii="仿宋" w:eastAsia="仿宋" w:hAnsi="仿宋"/>
          <w:sz w:val="28"/>
          <w:szCs w:val="28"/>
        </w:rPr>
      </w:pPr>
    </w:p>
    <w:sectPr w:rsidR="00B05DE6" w:rsidRPr="00B05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3994"/>
    <w:rsid w:val="003B3994"/>
    <w:rsid w:val="00964080"/>
    <w:rsid w:val="00B05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9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B05DE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05DE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209</Words>
  <Characters>1196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</dc:creator>
  <cp:keywords/>
  <dc:description/>
  <cp:lastModifiedBy>adi</cp:lastModifiedBy>
  <cp:revision>2</cp:revision>
  <dcterms:created xsi:type="dcterms:W3CDTF">2016-03-09T01:14:00Z</dcterms:created>
  <dcterms:modified xsi:type="dcterms:W3CDTF">2016-03-09T01:39:00Z</dcterms:modified>
</cp:coreProperties>
</file>